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i w:val="1"/>
        </w:rPr>
        <w:drawing>
          <wp:inline distB="114300" distT="114300" distL="114300" distR="114300">
            <wp:extent cx="2195513" cy="10466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5513" cy="10466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(N.B Find and replace LGfL Primary with the name of your school and note other highlighted words and phrases which you need to replace)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Intent</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line with the 2014 National Curriculum for Computing, our aim at the </w:t>
      </w:r>
      <w:r w:rsidDel="00000000" w:rsidR="00000000" w:rsidRPr="00000000">
        <w:rPr>
          <w:highlight w:val="yellow"/>
          <w:rtl w:val="0"/>
        </w:rPr>
        <w:t xml:space="preserve">LGfL Primary</w:t>
      </w:r>
      <w:r w:rsidDel="00000000" w:rsidR="00000000" w:rsidRPr="00000000">
        <w:rPr>
          <w:rtl w:val="0"/>
        </w:rPr>
        <w:t xml:space="preserve"> is to provide a high-quality computing education which equips children to use computational thinking and creativity to understand and change the world.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curriculum will teach children key knowledge about how computers and computer systems work, and how they are designed and programmed. Learners will have the opportunity to gain an understanding of computational systems of all kinds, whether or not they include computers.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By the time they leave </w:t>
      </w:r>
      <w:r w:rsidDel="00000000" w:rsidR="00000000" w:rsidRPr="00000000">
        <w:rPr>
          <w:highlight w:val="yellow"/>
          <w:rtl w:val="0"/>
        </w:rPr>
        <w:t xml:space="preserve">LGfL Primary</w:t>
      </w:r>
      <w:r w:rsidDel="00000000" w:rsidR="00000000" w:rsidRPr="00000000">
        <w:rPr>
          <w:rtl w:val="0"/>
        </w:rPr>
        <w:t xml:space="preserve">, children will have gained key knowledge and skills in the three main areas of the computing curriculum: computer science (programming and understanding how digital systems work), information technology (using computer systems to store, retrieve and send information) and digital literacy (evaluating digital content and using technology safely and respectfully). The objectives within each strand support the development of learning across the key stages, ensuring a solid grounding for future learning and beyond.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Implementation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At the </w:t>
      </w:r>
      <w:r w:rsidDel="00000000" w:rsidR="00000000" w:rsidRPr="00000000">
        <w:rPr>
          <w:highlight w:val="yellow"/>
          <w:rtl w:val="0"/>
        </w:rPr>
        <w:t xml:space="preserve">LGfL Primary </w:t>
      </w:r>
      <w:r w:rsidDel="00000000" w:rsidR="00000000" w:rsidRPr="00000000">
        <w:rPr>
          <w:rtl w:val="0"/>
        </w:rPr>
        <w:t xml:space="preserve">computing is taught using a </w:t>
      </w:r>
      <w:r w:rsidDel="00000000" w:rsidR="00000000" w:rsidRPr="00000000">
        <w:rPr>
          <w:highlight w:val="yellow"/>
          <w:rtl w:val="0"/>
        </w:rPr>
        <w:t xml:space="preserve">blocked/ongoing</w:t>
      </w:r>
      <w:r w:rsidDel="00000000" w:rsidR="00000000" w:rsidRPr="00000000">
        <w:rPr>
          <w:rtl w:val="0"/>
        </w:rPr>
        <w:t xml:space="preserve"> curriculum approach. This ensures children are able to develop depth in their knowledge and skills over the duration of each of their computing topics. Teachers use the </w:t>
      </w:r>
      <w:r w:rsidDel="00000000" w:rsidR="00000000" w:rsidRPr="00000000">
        <w:rPr>
          <w:highlight w:val="yellow"/>
          <w:rtl w:val="0"/>
        </w:rPr>
        <w:t xml:space="preserve">Computing</w:t>
      </w:r>
      <w:r w:rsidDel="00000000" w:rsidR="00000000" w:rsidRPr="00000000">
        <w:rPr>
          <w:rtl w:val="0"/>
        </w:rPr>
        <w:t xml:space="preserve"> scheme.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have a computing suite/set of </w:t>
      </w:r>
      <w:r w:rsidDel="00000000" w:rsidR="00000000" w:rsidRPr="00000000">
        <w:rPr>
          <w:highlight w:val="yellow"/>
          <w:rtl w:val="0"/>
        </w:rPr>
        <w:t xml:space="preserve">laptops/iPads/Chromebooks</w:t>
      </w:r>
      <w:r w:rsidDel="00000000" w:rsidR="00000000" w:rsidRPr="00000000">
        <w:rPr>
          <w:rtl w:val="0"/>
        </w:rPr>
        <w:t xml:space="preserve"> to ensure that all year groups have the opportunity to use a range of devices and programs for many purposes across the wider curriculum, as well as in discrete computing lessons. Employing cross-curricular links motivates pupils and supports them to make connections and remember the steps they have been taught.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implementation of the curriculum also ensures a balanced coverage of computer science, information technology and digital literacy. The children will have experiences of all three strands in each year group, but the subject knowledge imparted becomes increasingly specific and in-depth, with more complex skills being taught, thus ensuring that learning is built upon.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Key Stage 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Pupils will be taught to: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Understand what algorithms are, how they are implemented as programs on digital devices, and that programs execute by following precise and unambiguous instructions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Create and debug simple programs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Use logical reasoning to predict the behaviour of simple programs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Recognise common uses of information technology beyond school</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Key Stage 2</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Pupils will be taught to: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Impact</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By the end of each Key Stage, pupils are expected to know, apply and understand the matters, skills and processes specified in the relevant programme of study.</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